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E064" w14:textId="77777777" w:rsidR="00060F7E" w:rsidRPr="00060F7E" w:rsidRDefault="00060F7E" w:rsidP="00060F7E">
      <w:pPr>
        <w:pStyle w:val="Otsikko10"/>
      </w:pPr>
      <w:r w:rsidRPr="00060F7E">
        <w:t>Potilaan valmistaminen jodivarjoainetutkimukseen</w:t>
      </w:r>
    </w:p>
    <w:p w14:paraId="7DE83963" w14:textId="77777777" w:rsidR="00060F7E" w:rsidRPr="00060F7E" w:rsidRDefault="00060F7E" w:rsidP="00060F7E">
      <w:pPr>
        <w:pStyle w:val="Otsikko20"/>
      </w:pPr>
      <w:r w:rsidRPr="00060F7E">
        <w:t>I Munuaisfunktion tarkistaminen</w:t>
      </w:r>
    </w:p>
    <w:p w14:paraId="50EE7BBB" w14:textId="77777777" w:rsidR="00060F7E" w:rsidRPr="00060F7E" w:rsidRDefault="00060F7E" w:rsidP="00060F7E">
      <w:pPr>
        <w:tabs>
          <w:tab w:val="left" w:pos="1560"/>
        </w:tabs>
        <w:ind w:left="1304"/>
        <w:rPr>
          <w:rFonts w:asciiTheme="majorHAnsi" w:hAnsiTheme="majorHAnsi" w:cstheme="majorHAnsi"/>
          <w:b/>
        </w:rPr>
      </w:pPr>
      <w:r w:rsidRPr="00060F7E">
        <w:rPr>
          <w:rFonts w:asciiTheme="majorHAnsi" w:hAnsiTheme="majorHAnsi" w:cstheme="majorHAnsi"/>
          <w:b/>
        </w:rPr>
        <w:t>P-</w:t>
      </w:r>
      <w:proofErr w:type="spellStart"/>
      <w:r w:rsidRPr="00060F7E">
        <w:rPr>
          <w:rFonts w:asciiTheme="majorHAnsi" w:hAnsiTheme="majorHAnsi" w:cstheme="majorHAnsi"/>
          <w:b/>
        </w:rPr>
        <w:t>krea</w:t>
      </w:r>
      <w:proofErr w:type="spellEnd"/>
      <w:r w:rsidRPr="00060F7E">
        <w:rPr>
          <w:rFonts w:asciiTheme="majorHAnsi" w:hAnsiTheme="majorHAnsi" w:cstheme="majorHAnsi"/>
          <w:b/>
        </w:rPr>
        <w:t xml:space="preserve"> (</w:t>
      </w:r>
      <w:proofErr w:type="spellStart"/>
      <w:r w:rsidRPr="00060F7E">
        <w:rPr>
          <w:rFonts w:asciiTheme="majorHAnsi" w:hAnsiTheme="majorHAnsi" w:cstheme="majorHAnsi"/>
          <w:b/>
        </w:rPr>
        <w:t>eGFR</w:t>
      </w:r>
      <w:proofErr w:type="spellEnd"/>
      <w:r w:rsidRPr="00060F7E">
        <w:rPr>
          <w:rFonts w:asciiTheme="majorHAnsi" w:hAnsiTheme="majorHAnsi" w:cstheme="majorHAnsi"/>
          <w:b/>
        </w:rPr>
        <w:t xml:space="preserve">) määritetään kaikilta yli </w:t>
      </w:r>
      <w:proofErr w:type="gramStart"/>
      <w:r w:rsidRPr="00060F7E">
        <w:rPr>
          <w:rFonts w:asciiTheme="majorHAnsi" w:hAnsiTheme="majorHAnsi" w:cstheme="majorHAnsi"/>
          <w:b/>
        </w:rPr>
        <w:t>65 -vuotiailta</w:t>
      </w:r>
      <w:proofErr w:type="gramEnd"/>
      <w:r w:rsidRPr="00060F7E">
        <w:rPr>
          <w:rFonts w:asciiTheme="majorHAnsi" w:hAnsiTheme="majorHAnsi" w:cstheme="majorHAnsi"/>
          <w:b/>
        </w:rPr>
        <w:t xml:space="preserve">, sekä niiltä alle 65-vuotiailta, joilla on perussairauksia ja/tai jatkuva lääkitys </w:t>
      </w:r>
      <w:hyperlink w:anchor="_Munuaisfunktion_tarkistaminen_jodiv" w:history="1">
        <w:r w:rsidRPr="00060F7E">
          <w:rPr>
            <w:rStyle w:val="Hyperlinkki"/>
            <w:rFonts w:asciiTheme="majorHAnsi" w:hAnsiTheme="majorHAnsi" w:cstheme="majorHAnsi"/>
            <w:b/>
          </w:rPr>
          <w:t>(kaavio)</w:t>
        </w:r>
      </w:hyperlink>
      <w:r w:rsidRPr="00060F7E">
        <w:rPr>
          <w:rFonts w:asciiTheme="majorHAnsi" w:hAnsiTheme="majorHAnsi" w:cstheme="majorHAnsi"/>
          <w:b/>
        </w:rPr>
        <w:t>.</w:t>
      </w:r>
    </w:p>
    <w:p w14:paraId="680D9D02" w14:textId="77777777" w:rsidR="00060F7E" w:rsidRPr="00060F7E" w:rsidRDefault="00060F7E" w:rsidP="00060F7E">
      <w:pPr>
        <w:spacing w:line="120" w:lineRule="auto"/>
        <w:ind w:left="1304"/>
        <w:rPr>
          <w:rFonts w:asciiTheme="majorHAnsi" w:hAnsiTheme="majorHAnsi" w:cstheme="majorHAnsi"/>
          <w:i/>
          <w:strike/>
        </w:rPr>
      </w:pPr>
    </w:p>
    <w:p w14:paraId="6D4D3B07" w14:textId="77777777" w:rsidR="00060F7E" w:rsidRPr="00060F7E" w:rsidRDefault="00060F7E" w:rsidP="00060F7E">
      <w:pPr>
        <w:ind w:left="1304"/>
        <w:rPr>
          <w:rFonts w:asciiTheme="majorHAnsi" w:hAnsiTheme="majorHAnsi" w:cstheme="majorHAnsi"/>
          <w:i/>
        </w:rPr>
      </w:pPr>
      <w:r w:rsidRPr="00060F7E">
        <w:rPr>
          <w:rFonts w:asciiTheme="majorHAnsi" w:hAnsiTheme="majorHAnsi" w:cstheme="majorHAnsi"/>
          <w:i/>
        </w:rPr>
        <w:t>Akuutisti sairailla ja sairaalapotilailla täytyy olla mahdollisimman tuore GFR-määritys (1-2 vrk</w:t>
      </w:r>
      <w:proofErr w:type="gramStart"/>
      <w:r w:rsidRPr="00060F7E">
        <w:rPr>
          <w:rFonts w:asciiTheme="majorHAnsi" w:hAnsiTheme="majorHAnsi" w:cstheme="majorHAnsi"/>
          <w:i/>
        </w:rPr>
        <w:t>) .</w:t>
      </w:r>
      <w:proofErr w:type="gramEnd"/>
      <w:r w:rsidRPr="00060F7E">
        <w:rPr>
          <w:rFonts w:asciiTheme="majorHAnsi" w:hAnsiTheme="majorHAnsi" w:cstheme="majorHAnsi"/>
          <w:i/>
        </w:rPr>
        <w:t xml:space="preserve"> Muilla potilailla munuaisfunktion tarkistus on oltava tehtynä viikon sisällä, mutta riskiryhmään kuulumattomilla harkinnan mukaan kolmen kuukauden sisällä. </w:t>
      </w:r>
    </w:p>
    <w:p w14:paraId="46DE6B90" w14:textId="77777777" w:rsidR="00060F7E" w:rsidRPr="00060F7E" w:rsidRDefault="00060F7E" w:rsidP="00060F7E">
      <w:pPr>
        <w:spacing w:line="120" w:lineRule="auto"/>
        <w:ind w:left="1304"/>
        <w:rPr>
          <w:rFonts w:asciiTheme="majorHAnsi" w:hAnsiTheme="majorHAnsi" w:cstheme="majorHAnsi"/>
          <w:strike/>
        </w:rPr>
      </w:pPr>
    </w:p>
    <w:p w14:paraId="5DD13C11" w14:textId="77777777" w:rsidR="00060F7E" w:rsidRPr="00060F7E" w:rsidRDefault="00060F7E" w:rsidP="00060F7E">
      <w:pPr>
        <w:ind w:left="1304"/>
        <w:rPr>
          <w:rFonts w:asciiTheme="majorHAnsi" w:hAnsiTheme="majorHAnsi" w:cstheme="majorHAnsi"/>
        </w:rPr>
      </w:pPr>
      <w:r w:rsidRPr="00060F7E">
        <w:rPr>
          <w:rFonts w:asciiTheme="majorHAnsi" w:hAnsiTheme="majorHAnsi" w:cstheme="majorHAnsi"/>
        </w:rPr>
        <w:t>Riskiä lisää mm: diabetes, sydämen vajaatoiminta, dehydraatio, sepsis, maksakirroosi</w:t>
      </w:r>
    </w:p>
    <w:p w14:paraId="21829C6D" w14:textId="77777777" w:rsidR="00060F7E" w:rsidRPr="00060F7E" w:rsidRDefault="00060F7E" w:rsidP="00060F7E">
      <w:pPr>
        <w:pStyle w:val="Otsikko20"/>
      </w:pPr>
      <w:r w:rsidRPr="00060F7E">
        <w:t>II Nesteytys</w:t>
      </w:r>
    </w:p>
    <w:p w14:paraId="2AB7C722" w14:textId="77777777" w:rsidR="00060F7E" w:rsidRPr="00060F7E" w:rsidRDefault="00060F7E" w:rsidP="00060F7E">
      <w:pPr>
        <w:ind w:left="1304"/>
        <w:rPr>
          <w:rFonts w:asciiTheme="majorHAnsi" w:hAnsiTheme="majorHAnsi" w:cstheme="majorHAnsi"/>
          <w:b/>
        </w:rPr>
      </w:pPr>
      <w:r w:rsidRPr="00060F7E">
        <w:rPr>
          <w:rFonts w:asciiTheme="majorHAnsi" w:hAnsiTheme="majorHAnsi" w:cstheme="majorHAnsi"/>
          <w:b/>
        </w:rPr>
        <w:t xml:space="preserve">Jos </w:t>
      </w:r>
      <w:proofErr w:type="spellStart"/>
      <w:r w:rsidRPr="00060F7E">
        <w:rPr>
          <w:rFonts w:asciiTheme="majorHAnsi" w:hAnsiTheme="majorHAnsi" w:cstheme="majorHAnsi"/>
          <w:b/>
        </w:rPr>
        <w:t>eGFR</w:t>
      </w:r>
      <w:proofErr w:type="spellEnd"/>
      <w:r w:rsidRPr="00060F7E">
        <w:rPr>
          <w:rFonts w:asciiTheme="majorHAnsi" w:hAnsiTheme="majorHAnsi" w:cstheme="majorHAnsi"/>
          <w:b/>
        </w:rPr>
        <w:t xml:space="preserve"> on &lt; 45 ml/min/1,73m</w:t>
      </w:r>
      <w:r w:rsidRPr="00060F7E">
        <w:rPr>
          <w:rFonts w:asciiTheme="majorHAnsi" w:hAnsiTheme="majorHAnsi" w:cstheme="majorHAnsi"/>
          <w:b/>
          <w:vertAlign w:val="superscript"/>
        </w:rPr>
        <w:t>2</w:t>
      </w:r>
      <w:r w:rsidRPr="00060F7E">
        <w:rPr>
          <w:rFonts w:asciiTheme="majorHAnsi" w:hAnsiTheme="majorHAnsi" w:cstheme="majorHAnsi"/>
          <w:b/>
        </w:rPr>
        <w:t xml:space="preserve">, on potilasta nesteytettävä. </w:t>
      </w:r>
    </w:p>
    <w:p w14:paraId="675F2C68" w14:textId="77777777" w:rsidR="00060F7E" w:rsidRPr="00060F7E" w:rsidRDefault="00060F7E" w:rsidP="00060F7E">
      <w:pPr>
        <w:ind w:left="1304"/>
        <w:rPr>
          <w:rFonts w:asciiTheme="majorHAnsi" w:hAnsiTheme="majorHAnsi" w:cstheme="majorHAnsi"/>
        </w:rPr>
      </w:pPr>
      <w:r w:rsidRPr="00060F7E">
        <w:rPr>
          <w:rFonts w:asciiTheme="majorHAnsi" w:hAnsiTheme="majorHAnsi" w:cstheme="majorHAnsi"/>
        </w:rPr>
        <w:t>Radiologin harkinnan mukaan nesteytystä voidaan tarvita muissakin tilanteissa (mm. iäkkäät potilaat, suolentyhjennyksen yhteydessä).</w:t>
      </w:r>
    </w:p>
    <w:p w14:paraId="49376F71" w14:textId="77777777" w:rsidR="00060F7E" w:rsidRPr="00060F7E" w:rsidRDefault="00060F7E" w:rsidP="00060F7E">
      <w:pPr>
        <w:spacing w:line="120" w:lineRule="auto"/>
        <w:ind w:left="1304"/>
        <w:rPr>
          <w:rFonts w:asciiTheme="majorHAnsi" w:hAnsiTheme="majorHAnsi" w:cstheme="majorHAnsi"/>
          <w:b/>
        </w:rPr>
      </w:pPr>
    </w:p>
    <w:p w14:paraId="6EBB1DD6" w14:textId="77777777" w:rsidR="00060F7E" w:rsidRPr="00060F7E" w:rsidRDefault="00060F7E" w:rsidP="00060F7E">
      <w:pPr>
        <w:ind w:left="1304"/>
        <w:rPr>
          <w:rFonts w:asciiTheme="majorHAnsi" w:hAnsiTheme="majorHAnsi" w:cstheme="majorHAnsi"/>
        </w:rPr>
      </w:pPr>
      <w:r w:rsidRPr="00060F7E">
        <w:rPr>
          <w:rFonts w:asciiTheme="majorHAnsi" w:hAnsiTheme="majorHAnsi" w:cstheme="majorHAnsi"/>
          <w:b/>
        </w:rPr>
        <w:t>Polikliininen nesteytys</w:t>
      </w:r>
      <w:r w:rsidRPr="00060F7E">
        <w:rPr>
          <w:rFonts w:asciiTheme="majorHAnsi" w:hAnsiTheme="majorHAnsi" w:cstheme="majorHAnsi"/>
        </w:rPr>
        <w:t>: 500 ml keittosuolaliuosta vähintään 2 h ennen tutkimusta ja vähintään 3 h tutkimuksen jälkeen (= 500 ml + 500 ml).</w:t>
      </w:r>
    </w:p>
    <w:p w14:paraId="1B748824" w14:textId="77777777" w:rsidR="00060F7E" w:rsidRPr="00060F7E" w:rsidRDefault="00060F7E" w:rsidP="00060F7E">
      <w:pPr>
        <w:spacing w:line="120" w:lineRule="auto"/>
        <w:rPr>
          <w:rFonts w:asciiTheme="majorHAnsi" w:hAnsiTheme="majorHAnsi" w:cstheme="majorHAnsi"/>
          <w:b/>
        </w:rPr>
      </w:pPr>
    </w:p>
    <w:p w14:paraId="6097880C" w14:textId="56A7572D" w:rsidR="00060F7E" w:rsidRPr="00060F7E" w:rsidRDefault="00060F7E" w:rsidP="00060F7E">
      <w:pPr>
        <w:ind w:left="1304"/>
        <w:rPr>
          <w:rFonts w:asciiTheme="majorHAnsi" w:hAnsiTheme="majorHAnsi" w:cstheme="majorHAnsi"/>
        </w:rPr>
      </w:pPr>
      <w:r w:rsidRPr="00060F7E">
        <w:rPr>
          <w:rFonts w:asciiTheme="majorHAnsi" w:hAnsiTheme="majorHAnsi" w:cstheme="majorHAnsi"/>
          <w:b/>
        </w:rPr>
        <w:t>Osastopotilaan nesteytys</w:t>
      </w:r>
      <w:r w:rsidRPr="00060F7E">
        <w:rPr>
          <w:rFonts w:asciiTheme="majorHAnsi" w:hAnsiTheme="majorHAnsi" w:cstheme="majorHAnsi"/>
        </w:rPr>
        <w:t xml:space="preserve">: 100 ml/tunti keittosuolaliuosta </w:t>
      </w:r>
      <w:r w:rsidRPr="00060F7E">
        <w:rPr>
          <w:rFonts w:asciiTheme="majorHAnsi" w:hAnsiTheme="majorHAnsi" w:cstheme="majorHAnsi"/>
        </w:rPr>
        <w:t>6–12</w:t>
      </w:r>
      <w:r w:rsidRPr="00060F7E">
        <w:rPr>
          <w:rFonts w:asciiTheme="majorHAnsi" w:hAnsiTheme="majorHAnsi" w:cstheme="majorHAnsi"/>
        </w:rPr>
        <w:t xml:space="preserve"> tuntia ennen ja jälkeen kuvauksen.</w:t>
      </w:r>
    </w:p>
    <w:p w14:paraId="304B0C54" w14:textId="77777777" w:rsidR="00060F7E" w:rsidRPr="00060F7E" w:rsidRDefault="00060F7E" w:rsidP="00060F7E">
      <w:pPr>
        <w:spacing w:line="120" w:lineRule="auto"/>
        <w:ind w:left="1304"/>
        <w:rPr>
          <w:rFonts w:asciiTheme="majorHAnsi" w:hAnsiTheme="majorHAnsi" w:cstheme="majorHAnsi"/>
          <w:b/>
        </w:rPr>
      </w:pPr>
    </w:p>
    <w:p w14:paraId="4A24AF6F" w14:textId="77777777" w:rsidR="00060F7E" w:rsidRPr="00060F7E" w:rsidRDefault="00060F7E" w:rsidP="00060F7E">
      <w:pPr>
        <w:ind w:left="1304"/>
        <w:rPr>
          <w:rFonts w:asciiTheme="majorHAnsi" w:hAnsiTheme="majorHAnsi" w:cstheme="majorHAnsi"/>
          <w:i/>
        </w:rPr>
      </w:pPr>
      <w:r w:rsidRPr="00060F7E">
        <w:rPr>
          <w:rFonts w:asciiTheme="majorHAnsi" w:hAnsiTheme="majorHAnsi" w:cstheme="majorHAnsi"/>
          <w:i/>
        </w:rPr>
        <w:t xml:space="preserve">Ehdotonta </w:t>
      </w:r>
      <w:proofErr w:type="spellStart"/>
      <w:r w:rsidRPr="00060F7E">
        <w:rPr>
          <w:rFonts w:asciiTheme="majorHAnsi" w:hAnsiTheme="majorHAnsi" w:cstheme="majorHAnsi"/>
          <w:i/>
        </w:rPr>
        <w:t>eGFR</w:t>
      </w:r>
      <w:proofErr w:type="spellEnd"/>
      <w:r w:rsidRPr="00060F7E">
        <w:rPr>
          <w:rFonts w:asciiTheme="majorHAnsi" w:hAnsiTheme="majorHAnsi" w:cstheme="majorHAnsi"/>
          <w:i/>
        </w:rPr>
        <w:t xml:space="preserve"> -alarajaa ei ole, vaan jodivarjoaineen käyttö arvioidaan tapauskohtaisesti. Varjoaineen munuaistoksisuus on vähäisempi kuin aikaisemmin on arvioitu. Varjoainetta voidaan käyttää myös vaikeassa kroonisessa munuaisten vajaatoiminnassa (</w:t>
      </w:r>
      <w:proofErr w:type="spellStart"/>
      <w:r w:rsidRPr="00060F7E">
        <w:rPr>
          <w:rFonts w:asciiTheme="majorHAnsi" w:hAnsiTheme="majorHAnsi" w:cstheme="majorHAnsi"/>
          <w:i/>
        </w:rPr>
        <w:t>eGFR</w:t>
      </w:r>
      <w:proofErr w:type="spellEnd"/>
      <w:r w:rsidRPr="00060F7E">
        <w:rPr>
          <w:rFonts w:asciiTheme="majorHAnsi" w:hAnsiTheme="majorHAnsi" w:cstheme="majorHAnsi"/>
          <w:i/>
        </w:rPr>
        <w:t xml:space="preserve"> &lt; 30), ellei potilaalla ei ole akuutisti huonontunut munuaisfunktio.</w:t>
      </w:r>
    </w:p>
    <w:p w14:paraId="7C6B02A6" w14:textId="77777777" w:rsidR="00060F7E" w:rsidRPr="00060F7E" w:rsidRDefault="00060F7E" w:rsidP="00060F7E">
      <w:pPr>
        <w:spacing w:line="120" w:lineRule="auto"/>
        <w:rPr>
          <w:rFonts w:asciiTheme="majorHAnsi" w:hAnsiTheme="majorHAnsi" w:cstheme="majorHAnsi"/>
          <w:b/>
        </w:rPr>
      </w:pPr>
    </w:p>
    <w:p w14:paraId="30518587" w14:textId="77777777" w:rsidR="00060F7E" w:rsidRPr="00060F7E" w:rsidRDefault="00060F7E" w:rsidP="00060F7E">
      <w:pPr>
        <w:ind w:left="1304"/>
        <w:rPr>
          <w:rFonts w:asciiTheme="majorHAnsi" w:hAnsiTheme="majorHAnsi" w:cstheme="majorHAnsi"/>
        </w:rPr>
      </w:pPr>
      <w:r w:rsidRPr="00060F7E">
        <w:rPr>
          <w:rFonts w:asciiTheme="majorHAnsi" w:hAnsiTheme="majorHAnsi" w:cstheme="majorHAnsi"/>
          <w:b/>
        </w:rPr>
        <w:t xml:space="preserve">Kroonikkodialyysihoidossa </w:t>
      </w:r>
      <w:r w:rsidRPr="00060F7E">
        <w:rPr>
          <w:rFonts w:asciiTheme="majorHAnsi" w:hAnsiTheme="majorHAnsi" w:cstheme="majorHAnsi"/>
        </w:rPr>
        <w:t>olevalle potilaalle varjoainetta voidaan käyttää normaalisti, dialyysihoidon aikataulua ei tarvitse muuttaa. Ylimääräistä nesteytystä ei anneta.</w:t>
      </w:r>
    </w:p>
    <w:p w14:paraId="38F5E56E" w14:textId="77777777" w:rsidR="00060F7E" w:rsidRPr="00060F7E" w:rsidRDefault="00060F7E" w:rsidP="00060F7E">
      <w:pPr>
        <w:pStyle w:val="Otsikko20"/>
      </w:pPr>
      <w:r w:rsidRPr="00060F7E">
        <w:t xml:space="preserve">III </w:t>
      </w:r>
      <w:proofErr w:type="spellStart"/>
      <w:r w:rsidRPr="00060F7E">
        <w:t>Metformiinilääkitys</w:t>
      </w:r>
      <w:proofErr w:type="spellEnd"/>
    </w:p>
    <w:p w14:paraId="4C6F8141" w14:textId="77777777" w:rsidR="00060F7E" w:rsidRPr="00060F7E" w:rsidRDefault="00060F7E" w:rsidP="00060F7E">
      <w:pPr>
        <w:ind w:left="1304"/>
        <w:rPr>
          <w:rFonts w:asciiTheme="majorHAnsi" w:hAnsiTheme="majorHAnsi" w:cstheme="majorHAnsi"/>
        </w:rPr>
      </w:pPr>
      <w:proofErr w:type="spellStart"/>
      <w:r w:rsidRPr="00060F7E">
        <w:rPr>
          <w:rFonts w:asciiTheme="majorHAnsi" w:hAnsiTheme="majorHAnsi" w:cstheme="majorHAnsi"/>
        </w:rPr>
        <w:t>Metformiini</w:t>
      </w:r>
      <w:proofErr w:type="spellEnd"/>
      <w:r w:rsidRPr="00060F7E">
        <w:rPr>
          <w:rFonts w:asciiTheme="majorHAnsi" w:hAnsiTheme="majorHAnsi" w:cstheme="majorHAnsi"/>
        </w:rPr>
        <w:t xml:space="preserve"> tauotetaan tutkimuksen jälkeen, jos </w:t>
      </w:r>
      <w:proofErr w:type="spellStart"/>
      <w:r w:rsidRPr="00060F7E">
        <w:rPr>
          <w:rFonts w:asciiTheme="majorHAnsi" w:hAnsiTheme="majorHAnsi" w:cstheme="majorHAnsi"/>
        </w:rPr>
        <w:t>eGFR</w:t>
      </w:r>
      <w:proofErr w:type="spellEnd"/>
      <w:r w:rsidRPr="00060F7E">
        <w:rPr>
          <w:rFonts w:asciiTheme="majorHAnsi" w:hAnsiTheme="majorHAnsi" w:cstheme="majorHAnsi"/>
        </w:rPr>
        <w:t xml:space="preserve"> on &lt; 45 ml/min/1,73 m</w:t>
      </w:r>
      <w:r w:rsidRPr="00060F7E">
        <w:rPr>
          <w:rFonts w:asciiTheme="majorHAnsi" w:hAnsiTheme="majorHAnsi" w:cstheme="majorHAnsi"/>
          <w:vertAlign w:val="superscript"/>
        </w:rPr>
        <w:t xml:space="preserve">2. </w:t>
      </w:r>
      <w:r w:rsidRPr="00060F7E">
        <w:rPr>
          <w:rFonts w:asciiTheme="majorHAnsi" w:hAnsiTheme="majorHAnsi" w:cstheme="majorHAnsi"/>
        </w:rPr>
        <w:t xml:space="preserve"> Lääkitystä voidaan jatkaa 48 h tutkimuksen jälkeen, jos munuaisten toiminta ei ole huonontunut eli </w:t>
      </w:r>
      <w:proofErr w:type="spellStart"/>
      <w:r w:rsidRPr="00060F7E">
        <w:rPr>
          <w:rFonts w:asciiTheme="majorHAnsi" w:hAnsiTheme="majorHAnsi" w:cstheme="majorHAnsi"/>
        </w:rPr>
        <w:t>eGFR</w:t>
      </w:r>
      <w:proofErr w:type="spellEnd"/>
      <w:r w:rsidRPr="00060F7E">
        <w:rPr>
          <w:rFonts w:asciiTheme="majorHAnsi" w:hAnsiTheme="majorHAnsi" w:cstheme="majorHAnsi"/>
        </w:rPr>
        <w:t xml:space="preserve"> ei ole laskenut lähtötasosta.</w:t>
      </w:r>
    </w:p>
    <w:p w14:paraId="638320EC" w14:textId="77777777" w:rsidR="00060F7E" w:rsidRPr="00060F7E" w:rsidRDefault="00060F7E" w:rsidP="00060F7E">
      <w:pPr>
        <w:pStyle w:val="Otsikko20"/>
      </w:pPr>
      <w:r w:rsidRPr="00060F7E">
        <w:t xml:space="preserve">IV </w:t>
      </w:r>
      <w:proofErr w:type="spellStart"/>
      <w:r w:rsidRPr="00060F7E">
        <w:t>Myasthenia</w:t>
      </w:r>
      <w:proofErr w:type="spellEnd"/>
      <w:r w:rsidRPr="00060F7E">
        <w:t xml:space="preserve"> gravis</w:t>
      </w:r>
    </w:p>
    <w:p w14:paraId="3892D6AD" w14:textId="77777777" w:rsidR="00060F7E" w:rsidRPr="00060F7E" w:rsidRDefault="00060F7E" w:rsidP="00060F7E">
      <w:pPr>
        <w:ind w:left="1304"/>
        <w:rPr>
          <w:rFonts w:asciiTheme="majorHAnsi" w:hAnsiTheme="majorHAnsi" w:cstheme="majorHAnsi"/>
        </w:rPr>
      </w:pPr>
      <w:r w:rsidRPr="00060F7E">
        <w:rPr>
          <w:rFonts w:asciiTheme="majorHAnsi" w:hAnsiTheme="majorHAnsi" w:cstheme="majorHAnsi"/>
        </w:rPr>
        <w:t xml:space="preserve">Jodivarjoaineen käyttö voi pahentaa </w:t>
      </w:r>
      <w:proofErr w:type="spellStart"/>
      <w:r w:rsidRPr="00060F7E">
        <w:rPr>
          <w:rFonts w:asciiTheme="majorHAnsi" w:hAnsiTheme="majorHAnsi" w:cstheme="majorHAnsi"/>
        </w:rPr>
        <w:t>myasthenia</w:t>
      </w:r>
      <w:proofErr w:type="spellEnd"/>
      <w:r w:rsidRPr="00060F7E">
        <w:rPr>
          <w:rFonts w:asciiTheme="majorHAnsi" w:hAnsiTheme="majorHAnsi" w:cstheme="majorHAnsi"/>
        </w:rPr>
        <w:t xml:space="preserve"> </w:t>
      </w:r>
      <w:proofErr w:type="spellStart"/>
      <w:r w:rsidRPr="00060F7E">
        <w:rPr>
          <w:rFonts w:asciiTheme="majorHAnsi" w:hAnsiTheme="majorHAnsi" w:cstheme="majorHAnsi"/>
        </w:rPr>
        <w:t>gravisin</w:t>
      </w:r>
      <w:proofErr w:type="spellEnd"/>
      <w:r w:rsidRPr="00060F7E">
        <w:rPr>
          <w:rFonts w:asciiTheme="majorHAnsi" w:hAnsiTheme="majorHAnsi" w:cstheme="majorHAnsi"/>
        </w:rPr>
        <w:t xml:space="preserve"> eli myastenian oireita pienellä osalla potilaista. Mikäli potilaalla on todettu myastenia, ohjeistetaan häntä ottamaan yhteyttä hoitavan sairaalan neurologian poliklinikalle, mikäli oireet tuntuvat pahenevan kahden viikon kuluessa varjoainekuvauksesta.</w:t>
      </w:r>
    </w:p>
    <w:p w14:paraId="744275A0" w14:textId="77777777" w:rsidR="00060F7E" w:rsidRPr="00060F7E" w:rsidRDefault="00060F7E" w:rsidP="00060F7E">
      <w:pPr>
        <w:pStyle w:val="Otsikko30"/>
      </w:pPr>
      <w:bookmarkStart w:id="0" w:name="_Munuaisfunktion_tarkistaminen_jodiv"/>
      <w:bookmarkEnd w:id="0"/>
      <w:r w:rsidRPr="00060F7E">
        <w:lastRenderedPageBreak/>
        <w:t>Munuaisfunktion tarkistaminen jodivarjoainetutkimuspotilaalta</w:t>
      </w:r>
    </w:p>
    <w:p w14:paraId="79E6CBD7" w14:textId="164002BE" w:rsidR="00AA2438" w:rsidRPr="00060F7E" w:rsidRDefault="00060F7E" w:rsidP="00432CB1">
      <w:pPr>
        <w:rPr>
          <w:rFonts w:asciiTheme="majorHAnsi" w:hAnsiTheme="majorHAnsi" w:cstheme="majorHAnsi"/>
        </w:rPr>
      </w:pPr>
      <w:r w:rsidRPr="00060F7E">
        <w:rPr>
          <w:rFonts w:asciiTheme="majorHAnsi" w:hAnsiTheme="majorHAnsi" w:cstheme="majorHAnsi"/>
          <w:noProof/>
        </w:rPr>
        <w:drawing>
          <wp:inline distT="0" distB="0" distL="0" distR="0" wp14:anchorId="140B871E" wp14:editId="2BB8BEF6">
            <wp:extent cx="5867400" cy="7708549"/>
            <wp:effectExtent l="0" t="0" r="0" b="698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74471" cy="771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438" w:rsidRPr="00060F7E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0A20EF" w:rsidRDefault="000A20EF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0A20EF" w:rsidRDefault="000A2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98F1EA9" w:rsidR="009D2375" w:rsidRPr="00BD1530" w:rsidRDefault="00060F7E" w:rsidP="00060F7E">
    <w:pPr>
      <w:pStyle w:val="Eivli"/>
      <w:jc w:val="right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7E743899">
              <wp:simplePos x="0" y="0"/>
              <wp:positionH relativeFrom="column">
                <wp:posOffset>3204210</wp:posOffset>
              </wp:positionH>
              <wp:positionV relativeFrom="paragraph">
                <wp:posOffset>-479425</wp:posOffset>
              </wp:positionV>
              <wp:extent cx="2428240" cy="229235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240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1E3DB1A5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060F7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Ikäheimo Risto, 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left:0;text-align:left;margin-left:252.3pt;margin-top:-37.75pt;width:191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" fillcolor="#fffefe [3201]" stroked="f" strokeweight=".5pt">
              <v:textbox>
                <w:txbxContent>
                  <w:p w14:paraId="35C4E00A" w14:textId="1E3DB1A5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060F7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Ikäheimo Risto, Ahvenjärvi Lauri</w:t>
                    </w:r>
                  </w:p>
                </w:txbxContent>
              </v:textbox>
            </v:shape>
          </w:pict>
        </mc:Fallback>
      </mc:AlternateContent>
    </w:r>
    <w:r w:rsidR="009F5979"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E3DA3C9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6DE716A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proofErr w:type="spellStart"/>
                          <w:r w:rsidR="00060F7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Pääkkö</w:t>
                          </w:r>
                          <w:proofErr w:type="spellEnd"/>
                          <w:r w:rsidR="00060F7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Eija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left:0;text-align:left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56DE716A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proofErr w:type="spellStart"/>
                    <w:r w:rsidR="00060F7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Pääkkö</w:t>
                    </w:r>
                    <w:proofErr w:type="spellEnd"/>
                    <w:r w:rsidR="00060F7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Eija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>Potilaan valmistaminen jodivarjoainetutkimukseen</w:t>
        </w:r>
      </w:sdtContent>
    </w:sdt>
  </w:p>
  <w:p w14:paraId="7CC21439" w14:textId="291F25CF" w:rsidR="00824166" w:rsidRPr="00597075" w:rsidRDefault="00824166" w:rsidP="00060F7E">
    <w:pPr>
      <w:tabs>
        <w:tab w:val="left" w:pos="7785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0A20EF" w:rsidRDefault="000A20EF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0A20EF" w:rsidRDefault="000A2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6C83ABC" w:rsidR="000631E7" w:rsidRPr="004E7FC1" w:rsidRDefault="00060F7E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14.10.2024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7868D438" w14:textId="77777777" w:rsidR="000A20EF" w:rsidRDefault="000A20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0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1"/>
  </w:num>
  <w:num w:numId="13" w16cid:durableId="70978191">
    <w:abstractNumId w:val="7"/>
  </w:num>
  <w:num w:numId="14" w16cid:durableId="240528770">
    <w:abstractNumId w:val="14"/>
  </w:num>
  <w:num w:numId="15" w16cid:durableId="452208856">
    <w:abstractNumId w:val="17"/>
  </w:num>
  <w:num w:numId="16" w16cid:durableId="1796949018">
    <w:abstractNumId w:val="8"/>
  </w:num>
  <w:num w:numId="17" w16cid:durableId="627246728">
    <w:abstractNumId w:val="4"/>
  </w:num>
  <w:num w:numId="18" w16cid:durableId="1203321292">
    <w:abstractNumId w:val="12"/>
  </w:num>
  <w:num w:numId="19" w16cid:durableId="338584785">
    <w:abstractNumId w:val="5"/>
  </w:num>
  <w:num w:numId="20" w16cid:durableId="1700349936">
    <w:abstractNumId w:val="20"/>
  </w:num>
  <w:num w:numId="21" w16cid:durableId="2002350878">
    <w:abstractNumId w:val="21"/>
  </w:num>
  <w:num w:numId="22" w16cid:durableId="204828846">
    <w:abstractNumId w:val="15"/>
  </w:num>
  <w:num w:numId="23" w16cid:durableId="440537796">
    <w:abstractNumId w:val="6"/>
  </w:num>
  <w:num w:numId="24" w16cid:durableId="495077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0F7E"/>
    <w:rsid w:val="000631E7"/>
    <w:rsid w:val="000A20EF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44</Value>
      <Value>42</Value>
      <Value>41</Value>
      <Value>1315</Value>
      <Value>617</Value>
      <Value>886</Value>
      <Value>986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i:0#.w|oysnet\jarvimle</DisplayName>
        <AccountId>130</AccountId>
        <AccountType/>
      </UserInfo>
      <UserInfo>
        <DisplayName>i:0#.w|oysnet\lashop129</DisplayName>
        <AccountId>1539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i:0#.w|oysnet\jarvimle</DisplayName>
        <AccountId>130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tilaaja- että menetelmäohje</TermName>
          <TermId xmlns="http://schemas.microsoft.com/office/infopath/2007/PartnerControls">a980aedb-afa1-45e8-a272-d2520e7600a3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lääke-, varjo-, tai merkkiaineohje</TermName>
          <TermId xmlns="http://schemas.microsoft.com/office/infopath/2007/PartnerControls">bd9b1ce9-1a37-41bb-97f5-966abb5754f4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MUAVRSSTWASF-628417917-360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https://internet.oysnet.ppshp.fi/dokumentit/_layouts/15/DocIdRedir.aspx?ID=MUAVRSSTWASF-628417917-360</Url>
      <Description>MUAVRSSTWASF-628417917-360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188528-AF8E-4D85-A0DE-B74D46A37103}"/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DF4CB9-2904-4B1B-AEA4-0A4A0C841E32}"/>
</file>

<file path=customXml/itemProps6.xml><?xml version="1.0" encoding="utf-8"?>
<ds:datastoreItem xmlns:ds="http://schemas.openxmlformats.org/officeDocument/2006/customXml" ds:itemID="{C2785D5D-6099-4FEB-992D-EAD1F81245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Potilaan valmistaminen jodivarjoainetutkimukseen</dc:title>
  <dc:subject/>
  <dc:creator/>
  <cp:keywords/>
  <dc:description/>
  <cp:lastModifiedBy/>
  <cp:revision>1</cp:revision>
  <dcterms:created xsi:type="dcterms:W3CDTF">2024-10-14T09:04:00Z</dcterms:created>
  <dcterms:modified xsi:type="dcterms:W3CDTF">2024-10-14T09:04:00Z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986;#Kuvantamisen lääke-, varjo-, tai merkkiaineohje|bd9b1ce9-1a37-41bb-97f5-966abb5754f4</vt:lpwstr>
  </property>
  <property fmtid="{D5CDD505-2E9C-101B-9397-08002B2CF9AE}" pid="15" name="Order">
    <vt:r8>297300</vt:r8>
  </property>
  <property fmtid="{D5CDD505-2E9C-101B-9397-08002B2CF9AE}" pid="16" name="Kuvantamisen ikäryhmä">
    <vt:lpwstr>886;#Aikuinen|cf8c4afd-4c54-4b39-817d-454341937ee5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_dlc_DocIdItemGuid">
    <vt:lpwstr>2e209f40-8b02-4587-a303-05710803492e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Kuvantamisen ohjeen tutkimusryhmät (sisältötyypin metatieto)">
    <vt:lpwstr>617;#Yleinen kuvantamisen ohje|e2b7b206-d2e3-4a37-82ab-5214084ee8de</vt:lpwstr>
  </property>
  <property fmtid="{D5CDD505-2E9C-101B-9397-08002B2CF9AE}" pid="27" name="Toiminnanohjauskäsikirja">
    <vt:lpwstr>180;#5.3.1.1 hoito-ohjeiden hallinta|b7d9d97a-a7b7-4eec-b389-062c48e444f7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1315;#Sekä tilaaja- että menetelmäohje|a980aedb-afa1-45e8-a272-d2520e7600a3</vt:lpwstr>
  </property>
  <property fmtid="{D5CDD505-2E9C-101B-9397-08002B2CF9AE}" pid="30" name="Toimenpidekoodit">
    <vt:lpwstr/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MEO">
    <vt:lpwstr/>
  </property>
  <property fmtid="{D5CDD505-2E9C-101B-9397-08002B2CF9AE}" pid="34" name="SharedWithUsers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7" name="_SourceUrl">
    <vt:lpwstr/>
  </property>
  <property fmtid="{D5CDD505-2E9C-101B-9397-08002B2CF9AE}" pid="38" name="_SharedFileIndex">
    <vt:lpwstr/>
  </property>
  <property fmtid="{D5CDD505-2E9C-101B-9397-08002B2CF9AE}" pid="39" name="TaxKeywordTaxHTField">
    <vt:lpwstr/>
  </property>
</Properties>
</file>